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578C" w14:textId="77777777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事務連絡</w:t>
      </w:r>
    </w:p>
    <w:p w14:paraId="4EBE8534" w14:textId="65839C34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平成３０年８月１日</w:t>
      </w:r>
    </w:p>
    <w:p w14:paraId="7E08F294" w14:textId="77777777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</w:p>
    <w:p w14:paraId="384F1E0A" w14:textId="77777777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</w:p>
    <w:p w14:paraId="4E402C4A" w14:textId="77777777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徳島県製薬協会　会員　御中</w:t>
      </w:r>
    </w:p>
    <w:p w14:paraId="26FFD3DF" w14:textId="77777777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</w:p>
    <w:p w14:paraId="3F6FCD0E" w14:textId="4F04BFBF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>徳島県保健福祉部薬務課</w:t>
      </w:r>
    </w:p>
    <w:p w14:paraId="3F1A7105" w14:textId="77777777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</w:p>
    <w:p w14:paraId="54C86385" w14:textId="77777777" w:rsidR="00B826C9" w:rsidRPr="00B826C9" w:rsidRDefault="00B826C9" w:rsidP="00B826C9">
      <w:pPr>
        <w:suppressAutoHyphens/>
        <w:overflowPunct w:val="0"/>
        <w:spacing w:after="68" w:line="270" w:lineRule="exact"/>
        <w:jc w:val="center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</w:p>
    <w:p w14:paraId="269ECD18" w14:textId="77777777" w:rsidR="00B826C9" w:rsidRPr="00B826C9" w:rsidRDefault="00B826C9" w:rsidP="00B826C9">
      <w:pPr>
        <w:suppressAutoHyphens/>
        <w:overflowPunct w:val="0"/>
        <w:spacing w:after="68" w:line="270" w:lineRule="exact"/>
        <w:jc w:val="center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>徳島県ジェネリック医薬品「応援キャラクター」デザインの募集について</w:t>
      </w:r>
    </w:p>
    <w:p w14:paraId="352EDB26" w14:textId="77777777" w:rsidR="00B826C9" w:rsidRPr="00B826C9" w:rsidRDefault="00B826C9" w:rsidP="00B826C9">
      <w:pPr>
        <w:suppressAutoHyphens/>
        <w:overflowPunct w:val="0"/>
        <w:spacing w:after="68" w:line="270" w:lineRule="exact"/>
        <w:jc w:val="center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</w:p>
    <w:p w14:paraId="619A1AF1" w14:textId="77777777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</w:p>
    <w:p w14:paraId="70087D18" w14:textId="77777777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日頃は，薬事行政の推進に御協力を頂き，厚くお礼申し上げます。</w:t>
      </w:r>
    </w:p>
    <w:p w14:paraId="10B3F0FE" w14:textId="77777777" w:rsidR="00B826C9" w:rsidRPr="00B826C9" w:rsidRDefault="00B826C9" w:rsidP="00B826C9">
      <w:pPr>
        <w:suppressAutoHyphens/>
        <w:overflowPunct w:val="0"/>
        <w:spacing w:line="332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徳島県では，全国最下位である「ジェネリック医薬品」の使用割合向上のため，若年層への普及・啓発事業として，県民が親しみやすいキャラクターのデザインを募集します。</w:t>
      </w:r>
    </w:p>
    <w:p w14:paraId="6230E9B5" w14:textId="77777777" w:rsidR="00B826C9" w:rsidRPr="00B826C9" w:rsidRDefault="00B826C9" w:rsidP="00B826C9">
      <w:pPr>
        <w:suppressAutoHyphens/>
        <w:overflowPunct w:val="0"/>
        <w:spacing w:line="332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つきましては，貴社の社員の皆さまへの周知について，御協力をお願いします。</w:t>
      </w:r>
    </w:p>
    <w:p w14:paraId="0982AFC1" w14:textId="77777777" w:rsidR="00B826C9" w:rsidRPr="00B826C9" w:rsidRDefault="00B826C9" w:rsidP="00B826C9">
      <w:pPr>
        <w:suppressAutoHyphens/>
        <w:overflowPunct w:val="0"/>
        <w:spacing w:line="332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なお，徳島県ジェネリック医薬品応援キャラクターに採用された作品は，ジェネリック医薬品の使用促進に役立てるため，様々な啓発資材や広報に活用します。</w:t>
      </w:r>
    </w:p>
    <w:p w14:paraId="759D4146" w14:textId="77777777" w:rsidR="00B826C9" w:rsidRPr="00B826C9" w:rsidRDefault="00B826C9" w:rsidP="00B826C9">
      <w:pPr>
        <w:suppressAutoHyphens/>
        <w:overflowPunct w:val="0"/>
        <w:spacing w:after="74" w:line="264" w:lineRule="exact"/>
        <w:jc w:val="lef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</w:p>
    <w:p w14:paraId="2CDE032E" w14:textId="77777777" w:rsidR="00B826C9" w:rsidRPr="00B826C9" w:rsidRDefault="00B826C9" w:rsidP="00B826C9">
      <w:pPr>
        <w:suppressAutoHyphens/>
        <w:overflowPunct w:val="0"/>
        <w:spacing w:after="68" w:line="270" w:lineRule="exact"/>
        <w:textAlignment w:val="baseline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事業の概要</w:t>
      </w:r>
    </w:p>
    <w:p w14:paraId="5C2CD327" w14:textId="77777777" w:rsidR="00B826C9" w:rsidRPr="00B826C9" w:rsidRDefault="00B826C9" w:rsidP="00B826C9">
      <w:pPr>
        <w:numPr>
          <w:ilvl w:val="0"/>
          <w:numId w:val="1"/>
        </w:numPr>
        <w:suppressAutoHyphens/>
        <w:overflowPunct w:val="0"/>
        <w:spacing w:after="68" w:line="270" w:lineRule="exact"/>
        <w:ind w:hanging="720"/>
        <w:textAlignment w:val="baseline"/>
        <w:outlineLvl w:val="0"/>
        <w:rPr>
          <w:rFonts w:ascii="ＭＳ ゴシック" w:eastAsia="IPA明朝" w:hAnsi="ＭＳ ゴシック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>募集作品　ジェネリック医薬品応援キャラクターデザイン</w:t>
      </w:r>
    </w:p>
    <w:p w14:paraId="3EAD5809" w14:textId="77777777" w:rsidR="00B826C9" w:rsidRPr="00B826C9" w:rsidRDefault="00B826C9" w:rsidP="00B826C9">
      <w:pPr>
        <w:numPr>
          <w:ilvl w:val="0"/>
          <w:numId w:val="1"/>
        </w:numPr>
        <w:suppressAutoHyphens/>
        <w:overflowPunct w:val="0"/>
        <w:spacing w:after="68" w:line="270" w:lineRule="exact"/>
        <w:ind w:hanging="720"/>
        <w:textAlignment w:val="baseline"/>
        <w:outlineLvl w:val="0"/>
        <w:rPr>
          <w:rFonts w:ascii="ＭＳ ゴシック" w:eastAsia="IPA明朝" w:hAnsi="ＭＳ ゴシック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>応募資格　県内の小・中・高等学校及び特別支援学校の児童・生徒</w:t>
      </w:r>
    </w:p>
    <w:p w14:paraId="1B171515" w14:textId="77777777" w:rsidR="00B826C9" w:rsidRPr="00B826C9" w:rsidRDefault="00B826C9" w:rsidP="00B826C9">
      <w:pPr>
        <w:numPr>
          <w:ilvl w:val="0"/>
          <w:numId w:val="1"/>
        </w:numPr>
        <w:suppressAutoHyphens/>
        <w:overflowPunct w:val="0"/>
        <w:spacing w:after="68" w:line="270" w:lineRule="exact"/>
        <w:ind w:hanging="720"/>
        <w:textAlignment w:val="baseline"/>
        <w:outlineLvl w:val="0"/>
        <w:rPr>
          <w:rFonts w:ascii="ＭＳ ゴシック" w:eastAsia="IPA明朝" w:hAnsi="ＭＳ ゴシック" w:cs="Times New Roman"/>
          <w:color w:val="000000"/>
          <w:kern w:val="0"/>
          <w:sz w:val="24"/>
          <w:szCs w:val="24"/>
        </w:rPr>
      </w:pPr>
      <w:r w:rsidRPr="00B826C9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>応募締切　平成３０年９月７日（金）</w:t>
      </w:r>
    </w:p>
    <w:p w14:paraId="513AB484" w14:textId="77777777" w:rsidR="00691217" w:rsidRPr="00691217" w:rsidRDefault="00B826C9" w:rsidP="00691217">
      <w:pPr>
        <w:numPr>
          <w:ilvl w:val="0"/>
          <w:numId w:val="1"/>
        </w:numPr>
        <w:suppressAutoHyphens/>
        <w:overflowPunct w:val="0"/>
        <w:spacing w:after="68" w:line="270" w:lineRule="exact"/>
        <w:ind w:hanging="720"/>
        <w:jc w:val="left"/>
        <w:textAlignment w:val="baseline"/>
        <w:outlineLvl w:val="0"/>
        <w:rPr>
          <w:rFonts w:ascii="IPA明朝" w:eastAsia="ＭＳ ゴシック" w:hAnsi="Times New Roman" w:cs="ＭＳ ゴシック"/>
          <w:color w:val="000000"/>
          <w:kern w:val="0"/>
          <w:sz w:val="24"/>
          <w:szCs w:val="24"/>
        </w:rPr>
      </w:pPr>
      <w:r w:rsidRPr="00691217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賞品　　　</w:t>
      </w:r>
      <w:r w:rsidR="00691217" w:rsidRPr="00691217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最優秀作品　　</w:t>
      </w:r>
      <w:r w:rsidR="00691217" w:rsidRPr="00691217">
        <w:rPr>
          <w:rFonts w:ascii="IPA明朝" w:eastAsia="ＭＳ ゴシック" w:hAnsi="Times New Roman" w:cs="ＭＳ ゴシック"/>
          <w:color w:val="000000"/>
          <w:kern w:val="0"/>
          <w:sz w:val="24"/>
          <w:szCs w:val="24"/>
        </w:rPr>
        <w:t xml:space="preserve">  </w:t>
      </w:r>
      <w:r w:rsidR="00691217" w:rsidRPr="00691217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１点　図書カード３万円分　</w:t>
      </w:r>
    </w:p>
    <w:p w14:paraId="542C09D6" w14:textId="7C2C29A8" w:rsidR="00691217" w:rsidRPr="00691217" w:rsidRDefault="00691217" w:rsidP="00691217">
      <w:pPr>
        <w:suppressAutoHyphens/>
        <w:overflowPunct w:val="0"/>
        <w:spacing w:after="68" w:line="270" w:lineRule="exact"/>
        <w:ind w:left="720"/>
        <w:jc w:val="left"/>
        <w:textAlignment w:val="baseline"/>
        <w:outlineLvl w:val="0"/>
        <w:rPr>
          <w:rFonts w:ascii="IPA明朝" w:eastAsia="ＭＳ ゴシック" w:hAnsi="Times New Roman" w:cs="ＭＳ ゴシック"/>
          <w:color w:val="000000"/>
          <w:kern w:val="0"/>
          <w:sz w:val="24"/>
          <w:szCs w:val="24"/>
        </w:rPr>
      </w:pPr>
      <w:r w:rsidRPr="00691217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優秀作品　　　　２点　図書カード１万円分</w:t>
      </w:r>
      <w:r w:rsidRPr="00691217">
        <w:rPr>
          <w:rFonts w:ascii="IPA明朝" w:eastAsia="ＭＳ ゴシック" w:hAnsi="Times New Roman" w:cs="ＭＳ ゴシック"/>
          <w:color w:val="000000"/>
          <w:kern w:val="0"/>
          <w:sz w:val="24"/>
          <w:szCs w:val="24"/>
        </w:rPr>
        <w:t xml:space="preserve">   </w:t>
      </w:r>
    </w:p>
    <w:p w14:paraId="6E75B178" w14:textId="77777777" w:rsidR="00691217" w:rsidRDefault="00691217" w:rsidP="00691217">
      <w:pPr>
        <w:suppressAutoHyphens/>
        <w:overflowPunct w:val="0"/>
        <w:spacing w:after="68" w:line="270" w:lineRule="exact"/>
        <w:ind w:left="720"/>
        <w:jc w:val="left"/>
        <w:textAlignment w:val="baseline"/>
        <w:outlineLvl w:val="0"/>
        <w:rPr>
          <w:rFonts w:ascii="ＭＳ ゴシック" w:eastAsia="IPA明朝" w:hAnsi="ＭＳ ゴシック" w:cs="ＭＳ ゴシック"/>
          <w:color w:val="000000"/>
          <w:kern w:val="0"/>
          <w:sz w:val="24"/>
          <w:szCs w:val="24"/>
        </w:rPr>
      </w:pPr>
      <w:r w:rsidRPr="00691217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691217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>入賞作品　　　１０点　図書カード５千円分</w:t>
      </w:r>
      <w:r w:rsidR="00B826C9" w:rsidRPr="00691217">
        <w:rPr>
          <w:rFonts w:ascii="ＭＳ ゴシック" w:eastAsia="IPA明朝" w:hAnsi="ＭＳ ゴシック" w:cs="ＭＳ ゴシック"/>
          <w:color w:val="000000"/>
          <w:kern w:val="0"/>
          <w:sz w:val="24"/>
          <w:szCs w:val="24"/>
        </w:rPr>
        <w:t xml:space="preserve">  </w:t>
      </w:r>
    </w:p>
    <w:p w14:paraId="38C6EE42" w14:textId="77777777" w:rsidR="00691217" w:rsidRDefault="00691217" w:rsidP="00691217">
      <w:pPr>
        <w:suppressAutoHyphens/>
        <w:overflowPunct w:val="0"/>
        <w:spacing w:after="68" w:line="270" w:lineRule="exact"/>
        <w:ind w:left="720"/>
        <w:jc w:val="left"/>
        <w:textAlignment w:val="baseline"/>
        <w:outlineLvl w:val="0"/>
        <w:rPr>
          <w:rFonts w:ascii="ＭＳ ゴシック" w:eastAsia="IPA明朝" w:hAnsi="ＭＳ ゴシック" w:cs="ＭＳ ゴシック"/>
          <w:color w:val="000000"/>
          <w:kern w:val="0"/>
          <w:sz w:val="24"/>
          <w:szCs w:val="24"/>
        </w:rPr>
      </w:pPr>
    </w:p>
    <w:p w14:paraId="055F6E14" w14:textId="42AF2A00" w:rsidR="00B826C9" w:rsidRPr="00691217" w:rsidRDefault="00B826C9" w:rsidP="00691217">
      <w:pPr>
        <w:suppressAutoHyphens/>
        <w:overflowPunct w:val="0"/>
        <w:spacing w:after="68" w:line="270" w:lineRule="exact"/>
        <w:ind w:left="720"/>
        <w:jc w:val="left"/>
        <w:textAlignment w:val="baseline"/>
        <w:outlineLvl w:val="0"/>
        <w:rPr>
          <w:rFonts w:ascii="IPA明朝" w:eastAsia="IPA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691217">
        <w:rPr>
          <w:rFonts w:ascii="ＭＳ ゴシック" w:eastAsia="IPA明朝" w:hAnsi="ＭＳ ゴシック" w:cs="ＭＳ ゴシック"/>
          <w:color w:val="000000"/>
          <w:kern w:val="0"/>
          <w:sz w:val="24"/>
          <w:szCs w:val="24"/>
        </w:rPr>
        <w:t xml:space="preserve">                               </w:t>
      </w:r>
      <w:r w:rsidRPr="00691217">
        <w:rPr>
          <w:rFonts w:ascii="IPA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691217">
        <w:rPr>
          <w:rFonts w:ascii="ＭＳ ゴシック" w:eastAsia="IPA明朝" w:hAnsi="ＭＳ ゴシック" w:cs="ＭＳ ゴシック"/>
          <w:color w:val="000000"/>
          <w:kern w:val="0"/>
          <w:sz w:val="24"/>
          <w:szCs w:val="24"/>
        </w:rPr>
        <w:t xml:space="preserve">    </w:t>
      </w:r>
    </w:p>
    <w:tbl>
      <w:tblPr>
        <w:tblW w:w="5421" w:type="dxa"/>
        <w:tblInd w:w="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084"/>
        <w:gridCol w:w="4096"/>
      </w:tblGrid>
      <w:tr w:rsidR="00B826C9" w:rsidRPr="00B826C9" w14:paraId="66D3ED51" w14:textId="77777777" w:rsidTr="00B826C9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D45091" w14:textId="77777777" w:rsidR="00B826C9" w:rsidRPr="00B826C9" w:rsidRDefault="00B826C9" w:rsidP="00B82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F23C350" w14:textId="77777777" w:rsidR="00B826C9" w:rsidRPr="00B826C9" w:rsidRDefault="00B826C9" w:rsidP="00B82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6C9">
              <w:rPr>
                <w:rFonts w:ascii="IPA明朝" w:eastAsia="IPA明朝" w:hAnsi="IPA明朝" w:cs="IPA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826C9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08989F" w14:textId="77777777" w:rsidR="00B826C9" w:rsidRPr="00B826C9" w:rsidRDefault="00B826C9" w:rsidP="00B82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26C9" w:rsidRPr="00B826C9" w14:paraId="676CE444" w14:textId="77777777" w:rsidTr="00B826C9">
        <w:trPr>
          <w:trHeight w:val="1488"/>
        </w:trPr>
        <w:tc>
          <w:tcPr>
            <w:tcW w:w="54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294B" w14:textId="77777777" w:rsidR="00B826C9" w:rsidRPr="00B826C9" w:rsidRDefault="00B826C9" w:rsidP="00B82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6C9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保健福祉部薬務課　血液・麻薬担当　山岡・宮脇</w:t>
            </w:r>
          </w:p>
          <w:p w14:paraId="30F11F87" w14:textId="77777777" w:rsidR="00B826C9" w:rsidRPr="00B826C9" w:rsidRDefault="00B826C9" w:rsidP="00B82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6C9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電　話　０８８－６２１－２２３４</w:t>
            </w:r>
          </w:p>
          <w:p w14:paraId="2D534C7F" w14:textId="77777777" w:rsidR="00B826C9" w:rsidRPr="00B826C9" w:rsidRDefault="00B826C9" w:rsidP="00B82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6C9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ﾌｧｸｼﾐﾘ　０８８－６２１－２８４２</w:t>
            </w:r>
          </w:p>
          <w:p w14:paraId="75F587EF" w14:textId="04F39250" w:rsidR="00B826C9" w:rsidRPr="00B826C9" w:rsidRDefault="00B826C9" w:rsidP="00B826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IPA明朝" w:eastAsia="IPA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826C9">
              <w:rPr>
                <w:rFonts w:ascii="ＭＳ ゴシック" w:eastAsia="IPA明朝" w:hAnsi="ＭＳ ゴシック" w:cs="ＭＳ ゴシック"/>
                <w:color w:val="000000"/>
                <w:kern w:val="0"/>
                <w:sz w:val="24"/>
                <w:szCs w:val="24"/>
              </w:rPr>
              <w:t>E-mail</w:t>
            </w:r>
            <w:r w:rsidRPr="00B826C9">
              <w:rPr>
                <w:rFonts w:ascii="IPA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826C9">
              <w:rPr>
                <w:rFonts w:ascii="ＭＳ ゴシック" w:eastAsia="IPA明朝" w:hAnsi="ＭＳ ゴシック" w:cs="ＭＳ ゴシック"/>
                <w:color w:val="000000"/>
                <w:kern w:val="0"/>
                <w:sz w:val="24"/>
                <w:szCs w:val="24"/>
              </w:rPr>
              <w:t>yakumuka@pref.tokushima.jp</w:t>
            </w:r>
          </w:p>
        </w:tc>
      </w:tr>
    </w:tbl>
    <w:p w14:paraId="0F4E11B7" w14:textId="77777777" w:rsidR="00B826C9" w:rsidRPr="00B826C9" w:rsidRDefault="00B826C9" w:rsidP="00B826C9"/>
    <w:sectPr w:rsidR="00B826C9" w:rsidRPr="00B82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DAB5" w14:textId="77777777" w:rsidR="00FF5BC6" w:rsidRDefault="00FF5BC6" w:rsidP="00B226B1">
      <w:r>
        <w:separator/>
      </w:r>
    </w:p>
  </w:endnote>
  <w:endnote w:type="continuationSeparator" w:id="0">
    <w:p w14:paraId="672D2552" w14:textId="77777777" w:rsidR="00FF5BC6" w:rsidRDefault="00FF5BC6" w:rsidP="00B2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229BA" w14:textId="77777777" w:rsidR="00FF5BC6" w:rsidRDefault="00FF5BC6" w:rsidP="00B226B1">
      <w:r>
        <w:separator/>
      </w:r>
    </w:p>
  </w:footnote>
  <w:footnote w:type="continuationSeparator" w:id="0">
    <w:p w14:paraId="40A3DBDA" w14:textId="77777777" w:rsidR="00FF5BC6" w:rsidRDefault="00FF5BC6" w:rsidP="00B2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EEF"/>
    <w:multiLevelType w:val="multilevel"/>
    <w:tmpl w:val="00000000"/>
    <w:lvl w:ilvl="0">
      <w:start w:val="1"/>
      <w:numFmt w:val="decimalFullWidth"/>
      <w:lvlText w:val="（%1）"/>
      <w:lvlJc w:val="left"/>
      <w:pPr>
        <w:ind w:left="720"/>
      </w:pPr>
      <w:rPr>
        <w:rFonts w:ascii="IPA明朝" w:eastAsia="IPA明朝" w:hAnsi="IPA明朝" w:hint="eastAsia"/>
        <w:color w:val="000000"/>
        <w:spacing w:val="0"/>
        <w:w w:val="100"/>
        <w:sz w:val="24"/>
        <w:szCs w:val="24"/>
      </w:rPr>
    </w:lvl>
    <w:lvl w:ilvl="1">
      <w:start w:val="1"/>
      <w:numFmt w:val="lowerLetter"/>
      <w:lvlText w:val="%2"/>
      <w:lvlJc w:val="left"/>
      <w:pPr>
        <w:ind w:left="1320"/>
      </w:pPr>
      <w:rPr>
        <w:rFonts w:ascii="IPA明朝" w:eastAsia="IPA明朝" w:hAnsi="IPA明朝" w:hint="default"/>
        <w:color w:val="000000"/>
        <w:w w:val="100"/>
        <w:sz w:val="24"/>
        <w:szCs w:val="24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76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6">
      <w:start w:val="1"/>
      <w:numFmt w:val="decimal"/>
      <w:lvlText w:val="%7"/>
      <w:lvlJc w:val="left"/>
      <w:pPr>
        <w:ind w:left="492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7">
      <w:start w:val="1"/>
      <w:numFmt w:val="decimal"/>
      <w:lvlText w:val="%8"/>
      <w:lvlJc w:val="left"/>
      <w:pPr>
        <w:ind w:left="492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8">
      <w:start w:val="1"/>
      <w:numFmt w:val="decimal"/>
      <w:lvlText w:val="%9"/>
      <w:lvlJc w:val="left"/>
      <w:pPr>
        <w:ind w:left="492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</w:abstractNum>
  <w:abstractNum w:abstractNumId="1" w15:restartNumberingAfterBreak="0">
    <w:nsid w:val="66B53D4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ind w:left="720"/>
      </w:pPr>
      <w:rPr>
        <w:rFonts w:ascii="IPA明朝" w:eastAsia="IPA明朝" w:hAnsi="IPA明朝" w:hint="eastAsia"/>
        <w:color w:val="000000"/>
        <w:spacing w:val="0"/>
        <w:w w:val="100"/>
        <w:sz w:val="24"/>
        <w:szCs w:val="24"/>
      </w:rPr>
    </w:lvl>
    <w:lvl w:ilvl="1">
      <w:start w:val="1"/>
      <w:numFmt w:val="lowerLetter"/>
      <w:lvlText w:val="%2"/>
      <w:lvlJc w:val="left"/>
      <w:pPr>
        <w:ind w:left="1320"/>
      </w:pPr>
      <w:rPr>
        <w:rFonts w:ascii="IPA明朝" w:eastAsia="IPA明朝" w:hAnsi="IPA明朝" w:hint="default"/>
        <w:color w:val="000000"/>
        <w:w w:val="100"/>
        <w:sz w:val="24"/>
        <w:szCs w:val="24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76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6">
      <w:start w:val="1"/>
      <w:numFmt w:val="decimal"/>
      <w:lvlText w:val="%7"/>
      <w:lvlJc w:val="left"/>
      <w:pPr>
        <w:ind w:left="492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7">
      <w:start w:val="1"/>
      <w:numFmt w:val="decimal"/>
      <w:lvlText w:val="%8"/>
      <w:lvlJc w:val="left"/>
      <w:pPr>
        <w:ind w:left="492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  <w:lvl w:ilvl="8">
      <w:start w:val="1"/>
      <w:numFmt w:val="decimal"/>
      <w:lvlText w:val="%9"/>
      <w:lvlJc w:val="left"/>
      <w:pPr>
        <w:ind w:left="4920"/>
      </w:pPr>
      <w:rPr>
        <w:rFonts w:ascii="IPA明朝" w:eastAsia="IPA明朝" w:hAnsi="IPA明朝" w:hint="default"/>
        <w:color w:val="000000"/>
        <w:spacing w:val="0"/>
        <w:w w:val="1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C7"/>
    <w:rsid w:val="003B298D"/>
    <w:rsid w:val="00596644"/>
    <w:rsid w:val="00691217"/>
    <w:rsid w:val="007C0A67"/>
    <w:rsid w:val="008956C7"/>
    <w:rsid w:val="00B226B1"/>
    <w:rsid w:val="00B826C9"/>
    <w:rsid w:val="00BC6BD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DFC10"/>
  <w15:chartTrackingRefBased/>
  <w15:docId w15:val="{7F5BCD53-6105-4267-9ECA-843E2702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6B1"/>
  </w:style>
  <w:style w:type="paragraph" w:styleId="a5">
    <w:name w:val="footer"/>
    <w:basedOn w:val="a"/>
    <w:link w:val="a6"/>
    <w:uiPriority w:val="99"/>
    <w:unhideWhenUsed/>
    <w:rsid w:val="00B2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製薬協会</dc:creator>
  <cp:keywords/>
  <dc:description/>
  <cp:lastModifiedBy>製薬協会</cp:lastModifiedBy>
  <cp:revision>5</cp:revision>
  <dcterms:created xsi:type="dcterms:W3CDTF">2018-07-31T05:10:00Z</dcterms:created>
  <dcterms:modified xsi:type="dcterms:W3CDTF">2018-07-31T05:46:00Z</dcterms:modified>
</cp:coreProperties>
</file>