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FAF9" w14:textId="6CC9D0FB" w:rsidR="00F87295" w:rsidRPr="00F87295" w:rsidRDefault="00F87295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薬第５６１号</w:t>
      </w:r>
    </w:p>
    <w:p w14:paraId="469DF75A" w14:textId="48C3DB8C" w:rsidR="00F87295" w:rsidRPr="00F87295" w:rsidRDefault="00F87295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　　　　　　　　　　　</w:t>
      </w:r>
      <w:r w:rsidR="00014B91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　　</w:t>
      </w: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平成３０年７月３１日</w:t>
      </w:r>
    </w:p>
    <w:p w14:paraId="352709D1" w14:textId="77777777" w:rsidR="00F87295" w:rsidRPr="00F87295" w:rsidRDefault="00F87295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</w:p>
    <w:p w14:paraId="35B073C3" w14:textId="77777777" w:rsidR="00F87295" w:rsidRPr="00F87295" w:rsidRDefault="00F87295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</w:p>
    <w:p w14:paraId="4D55DBB4" w14:textId="0B1AF7B1" w:rsidR="00F87295" w:rsidRPr="00F87295" w:rsidRDefault="00F87295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>徳島県製薬協会</w:t>
      </w:r>
      <w:r w:rsidRPr="00F87295">
        <w:rPr>
          <w:rFonts w:ascii="ＭＳ ゴシック" w:eastAsia="IPA明朝" w:hAnsi="ＭＳ ゴシック" w:cs="ＭＳ ゴシック"/>
          <w:color w:val="000000"/>
          <w:kern w:val="0"/>
          <w:sz w:val="22"/>
        </w:rPr>
        <w:t xml:space="preserve"> </w:t>
      </w: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>会長　殿</w:t>
      </w:r>
    </w:p>
    <w:p w14:paraId="71DA5663" w14:textId="77777777" w:rsidR="00F87295" w:rsidRPr="00F87295" w:rsidRDefault="00F87295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</w:p>
    <w:p w14:paraId="6031178A" w14:textId="77777777" w:rsidR="00F87295" w:rsidRPr="00F87295" w:rsidRDefault="00F87295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</w:p>
    <w:p w14:paraId="5660E179" w14:textId="2416EE4E" w:rsidR="00F87295" w:rsidRPr="00F87295" w:rsidRDefault="00F87295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　　　　　　　　　　　</w:t>
      </w:r>
      <w:r w:rsidR="006A6354" w:rsidRPr="00014B91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　</w:t>
      </w: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>徳島県保健福祉部長</w:t>
      </w:r>
    </w:p>
    <w:p w14:paraId="5DB6BEB7" w14:textId="68A18486" w:rsidR="00F87295" w:rsidRPr="00F87295" w:rsidRDefault="00F87295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　　　　　　　　　　　　　　　　（公印省略）</w:t>
      </w:r>
    </w:p>
    <w:p w14:paraId="46BF5190" w14:textId="77777777" w:rsidR="00F87295" w:rsidRPr="00F87295" w:rsidRDefault="00F87295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</w:p>
    <w:p w14:paraId="4FCEF79A" w14:textId="77777777" w:rsidR="00F87295" w:rsidRPr="00F87295" w:rsidRDefault="00F87295" w:rsidP="00F87295">
      <w:pPr>
        <w:suppressAutoHyphens/>
        <w:overflowPunct w:val="0"/>
        <w:spacing w:after="68" w:line="270" w:lineRule="exact"/>
        <w:jc w:val="center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</w:p>
    <w:p w14:paraId="51FDB765" w14:textId="77777777" w:rsidR="00F87295" w:rsidRPr="00F87295" w:rsidRDefault="00F87295" w:rsidP="00F87295">
      <w:pPr>
        <w:suppressAutoHyphens/>
        <w:overflowPunct w:val="0"/>
        <w:spacing w:after="68" w:line="270" w:lineRule="exact"/>
        <w:jc w:val="center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>徳島県ジェネリック医薬品「応援キャラクター」デザインの募集について（依頼）</w:t>
      </w:r>
    </w:p>
    <w:p w14:paraId="5634205E" w14:textId="77AF6DDC" w:rsidR="00F87295" w:rsidRDefault="00F87295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</w:p>
    <w:p w14:paraId="201699D1" w14:textId="77777777" w:rsidR="00014B91" w:rsidRPr="00F87295" w:rsidRDefault="00014B91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 w:hint="eastAsia"/>
          <w:color w:val="000000"/>
          <w:kern w:val="0"/>
          <w:sz w:val="22"/>
        </w:rPr>
      </w:pPr>
    </w:p>
    <w:p w14:paraId="28CAA711" w14:textId="77777777" w:rsidR="00F87295" w:rsidRPr="00F87295" w:rsidRDefault="00F87295" w:rsidP="00F87295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日頃は，薬事行政の推進に御協力を頂き，厚くお礼申し上げます。</w:t>
      </w:r>
    </w:p>
    <w:p w14:paraId="017806C1" w14:textId="77777777" w:rsidR="00F87295" w:rsidRPr="00F87295" w:rsidRDefault="00F87295" w:rsidP="00F87295">
      <w:pPr>
        <w:suppressAutoHyphens/>
        <w:overflowPunct w:val="0"/>
        <w:spacing w:line="332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徳島県では，全国最下位である「ジェネリック医薬品」の使用割合向上のため，若年層への普及・啓発事業として，県民が親しみやすいキャラクターのデザインを募集します。</w:t>
      </w:r>
    </w:p>
    <w:p w14:paraId="74A7C9D7" w14:textId="77777777" w:rsidR="00F87295" w:rsidRPr="00F87295" w:rsidRDefault="00F87295" w:rsidP="00F87295">
      <w:pPr>
        <w:suppressAutoHyphens/>
        <w:overflowPunct w:val="0"/>
        <w:spacing w:line="332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つきましては，貴協会の会員企業様への募集要綱等の周知について，御協力をお願いします。</w:t>
      </w:r>
    </w:p>
    <w:p w14:paraId="63F731FE" w14:textId="725C87B6" w:rsidR="00F87295" w:rsidRPr="00014B91" w:rsidRDefault="00F87295" w:rsidP="00F87295">
      <w:pPr>
        <w:suppressAutoHyphens/>
        <w:overflowPunct w:val="0"/>
        <w:spacing w:line="332" w:lineRule="exact"/>
        <w:textAlignment w:val="baseline"/>
        <w:rPr>
          <w:rFonts w:ascii="IPA明朝" w:eastAsia="ＭＳ ゴシック" w:hAnsi="Times New Roman" w:cs="ＭＳ ゴシック"/>
          <w:color w:val="000000"/>
          <w:kern w:val="0"/>
          <w:sz w:val="22"/>
        </w:rPr>
      </w:pPr>
      <w:r w:rsidRPr="00F87295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なお，徳島県ジェネリック医薬品応援キャラクターに採用された作品は，ジェネリック医薬品の使用促進に役立てるため，様々な啓発資材や広報に活用します。</w:t>
      </w:r>
    </w:p>
    <w:p w14:paraId="425C1768" w14:textId="77777777" w:rsidR="006A6354" w:rsidRPr="006A6354" w:rsidRDefault="006A6354" w:rsidP="006A6354">
      <w:pPr>
        <w:suppressAutoHyphens/>
        <w:overflowPunct w:val="0"/>
        <w:spacing w:after="74" w:line="264" w:lineRule="exact"/>
        <w:jc w:val="lef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</w:p>
    <w:p w14:paraId="61FAC9F2" w14:textId="77777777" w:rsidR="006A6354" w:rsidRPr="006A6354" w:rsidRDefault="006A6354" w:rsidP="006A6354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2"/>
        </w:rPr>
      </w:pPr>
      <w:r w:rsidRPr="006A6354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事業の概要</w:t>
      </w:r>
    </w:p>
    <w:p w14:paraId="6D222898" w14:textId="77777777" w:rsidR="006A6354" w:rsidRPr="006A6354" w:rsidRDefault="006A6354" w:rsidP="006A6354">
      <w:pPr>
        <w:numPr>
          <w:ilvl w:val="0"/>
          <w:numId w:val="1"/>
        </w:numPr>
        <w:suppressAutoHyphens/>
        <w:overflowPunct w:val="0"/>
        <w:spacing w:after="68" w:line="270" w:lineRule="exact"/>
        <w:ind w:hanging="720"/>
        <w:textAlignment w:val="baseline"/>
        <w:outlineLvl w:val="0"/>
        <w:rPr>
          <w:rFonts w:ascii="ＭＳ ゴシック" w:eastAsia="IPA明朝" w:hAnsi="ＭＳ ゴシック" w:cs="Times New Roman"/>
          <w:color w:val="000000"/>
          <w:kern w:val="0"/>
          <w:sz w:val="22"/>
        </w:rPr>
      </w:pPr>
      <w:r w:rsidRPr="006A6354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>募集作品　ジェネリック医薬品応援キャラクターデザイン</w:t>
      </w:r>
    </w:p>
    <w:p w14:paraId="527C4DB2" w14:textId="77777777" w:rsidR="006A6354" w:rsidRPr="006A6354" w:rsidRDefault="006A6354" w:rsidP="006A6354">
      <w:pPr>
        <w:numPr>
          <w:ilvl w:val="0"/>
          <w:numId w:val="1"/>
        </w:numPr>
        <w:suppressAutoHyphens/>
        <w:overflowPunct w:val="0"/>
        <w:spacing w:after="68" w:line="270" w:lineRule="exact"/>
        <w:ind w:hanging="720"/>
        <w:textAlignment w:val="baseline"/>
        <w:outlineLvl w:val="0"/>
        <w:rPr>
          <w:rFonts w:ascii="ＭＳ ゴシック" w:eastAsia="IPA明朝" w:hAnsi="ＭＳ ゴシック" w:cs="Times New Roman"/>
          <w:color w:val="000000"/>
          <w:kern w:val="0"/>
          <w:sz w:val="22"/>
        </w:rPr>
      </w:pPr>
      <w:r w:rsidRPr="006A6354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>応募資格　県内の小・中・高等学校及び特別支援学校の児童・生徒</w:t>
      </w:r>
    </w:p>
    <w:p w14:paraId="05BD96E2" w14:textId="77777777" w:rsidR="006A6354" w:rsidRPr="006A6354" w:rsidRDefault="006A6354" w:rsidP="006A6354">
      <w:pPr>
        <w:numPr>
          <w:ilvl w:val="0"/>
          <w:numId w:val="1"/>
        </w:numPr>
        <w:suppressAutoHyphens/>
        <w:overflowPunct w:val="0"/>
        <w:spacing w:after="68" w:line="270" w:lineRule="exact"/>
        <w:ind w:hanging="720"/>
        <w:textAlignment w:val="baseline"/>
        <w:outlineLvl w:val="0"/>
        <w:rPr>
          <w:rFonts w:ascii="ＭＳ ゴシック" w:eastAsia="IPA明朝" w:hAnsi="ＭＳ ゴシック" w:cs="Times New Roman"/>
          <w:color w:val="000000"/>
          <w:kern w:val="0"/>
          <w:sz w:val="22"/>
        </w:rPr>
      </w:pPr>
      <w:r w:rsidRPr="006A6354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>応募締切　平成３０年９月７日（金）</w:t>
      </w:r>
    </w:p>
    <w:p w14:paraId="794B7F1D" w14:textId="77777777" w:rsidR="00014B91" w:rsidRPr="00014B91" w:rsidRDefault="006A6354" w:rsidP="006A6354">
      <w:pPr>
        <w:numPr>
          <w:ilvl w:val="0"/>
          <w:numId w:val="1"/>
        </w:numPr>
        <w:suppressAutoHyphens/>
        <w:overflowPunct w:val="0"/>
        <w:spacing w:after="68" w:line="270" w:lineRule="exact"/>
        <w:ind w:hanging="678"/>
        <w:jc w:val="left"/>
        <w:textAlignment w:val="baseline"/>
        <w:outlineLvl w:val="0"/>
        <w:rPr>
          <w:rFonts w:ascii="IPA明朝" w:eastAsia="IPA明朝" w:hAnsi="Times New Roman" w:cs="Times New Roman"/>
          <w:color w:val="000000"/>
          <w:kern w:val="0"/>
          <w:sz w:val="22"/>
        </w:rPr>
      </w:pPr>
      <w:r w:rsidRPr="006A6354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賞品　　　</w:t>
      </w:r>
      <w:r w:rsidRPr="006A6354">
        <w:rPr>
          <w:rFonts w:ascii="ＭＳ ゴシック" w:eastAsia="IPA明朝" w:hAnsi="ＭＳ ゴシック" w:cs="ＭＳ ゴシック"/>
          <w:color w:val="000000"/>
          <w:kern w:val="0"/>
          <w:sz w:val="22"/>
        </w:rPr>
        <w:t xml:space="preserve"> </w:t>
      </w:r>
      <w:r w:rsidRPr="006A6354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最優秀作品　　</w:t>
      </w:r>
      <w:r w:rsidRPr="006A6354">
        <w:rPr>
          <w:rFonts w:ascii="ＭＳ ゴシック" w:eastAsia="IPA明朝" w:hAnsi="ＭＳ ゴシック" w:cs="ＭＳ ゴシック"/>
          <w:color w:val="000000"/>
          <w:kern w:val="0"/>
          <w:sz w:val="22"/>
        </w:rPr>
        <w:t xml:space="preserve">  </w:t>
      </w:r>
      <w:r w:rsidRPr="006A6354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>１点　図書カード３万円分</w:t>
      </w:r>
      <w:r w:rsidR="00014B91" w:rsidRPr="00014B91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</w:p>
    <w:p w14:paraId="44C048A9" w14:textId="77777777" w:rsidR="00014B91" w:rsidRDefault="00014B91" w:rsidP="00014B91">
      <w:pPr>
        <w:suppressAutoHyphens/>
        <w:overflowPunct w:val="0"/>
        <w:spacing w:after="68" w:line="270" w:lineRule="exact"/>
        <w:ind w:left="720"/>
        <w:jc w:val="left"/>
        <w:textAlignment w:val="baseline"/>
        <w:outlineLvl w:val="0"/>
        <w:rPr>
          <w:rFonts w:ascii="ＭＳ ゴシック" w:eastAsia="IPA明朝" w:hAnsi="ＭＳ ゴシック" w:cs="ＭＳ ゴシック"/>
          <w:color w:val="000000"/>
          <w:kern w:val="0"/>
          <w:sz w:val="22"/>
        </w:rPr>
      </w:pPr>
      <w:r>
        <w:rPr>
          <w:rFonts w:ascii="ＭＳ ゴシック" w:eastAsia="IPA明朝" w:hAnsi="ＭＳ ゴシック" w:cs="ＭＳ ゴシック" w:hint="eastAsia"/>
          <w:color w:val="000000"/>
          <w:kern w:val="0"/>
          <w:sz w:val="22"/>
        </w:rPr>
        <w:t xml:space="preserve">　　　　　　</w:t>
      </w:r>
      <w:r>
        <w:rPr>
          <w:rFonts w:eastAsia="ＭＳ ゴシック" w:hAnsi="Times New Roman" w:cs="ＭＳ ゴシック" w:hint="eastAsia"/>
        </w:rPr>
        <w:t>優秀作品　　　　２点　図書カード１万円分</w:t>
      </w:r>
      <w:r w:rsidR="006A6354" w:rsidRPr="006A6354">
        <w:rPr>
          <w:rFonts w:ascii="ＭＳ ゴシック" w:eastAsia="IPA明朝" w:hAnsi="ＭＳ ゴシック" w:cs="ＭＳ ゴシック"/>
          <w:color w:val="000000"/>
          <w:kern w:val="0"/>
          <w:sz w:val="22"/>
        </w:rPr>
        <w:t xml:space="preserve">   </w:t>
      </w:r>
    </w:p>
    <w:p w14:paraId="27E3B446" w14:textId="77777777" w:rsidR="00014B91" w:rsidRDefault="00014B91" w:rsidP="00014B91">
      <w:pPr>
        <w:suppressAutoHyphens/>
        <w:overflowPunct w:val="0"/>
        <w:spacing w:after="68" w:line="270" w:lineRule="exact"/>
        <w:ind w:left="720"/>
        <w:jc w:val="left"/>
        <w:textAlignment w:val="baseline"/>
        <w:outlineLvl w:val="0"/>
        <w:rPr>
          <w:rFonts w:eastAsia="ＭＳ ゴシック" w:hAnsi="Times New Roman" w:cs="ＭＳ ゴシック"/>
        </w:rPr>
      </w:pPr>
      <w:r>
        <w:rPr>
          <w:rFonts w:ascii="ＭＳ ゴシック" w:eastAsia="IPA明朝" w:hAnsi="ＭＳ ゴシック" w:cs="ＭＳ ゴシック" w:hint="eastAsia"/>
          <w:color w:val="000000"/>
          <w:kern w:val="0"/>
          <w:sz w:val="22"/>
        </w:rPr>
        <w:t xml:space="preserve">　　　　　　</w:t>
      </w:r>
      <w:r>
        <w:rPr>
          <w:rFonts w:eastAsia="ＭＳ ゴシック" w:hAnsi="Times New Roman" w:cs="ＭＳ ゴシック" w:hint="eastAsia"/>
        </w:rPr>
        <w:t>入賞作品　　　１０点　図書カード５千円分</w:t>
      </w:r>
    </w:p>
    <w:p w14:paraId="4ACFF40C" w14:textId="1DF253BF" w:rsidR="006A6354" w:rsidRDefault="006A6354" w:rsidP="00014B91">
      <w:pPr>
        <w:suppressAutoHyphens/>
        <w:overflowPunct w:val="0"/>
        <w:spacing w:after="68" w:line="270" w:lineRule="exact"/>
        <w:ind w:left="720"/>
        <w:jc w:val="left"/>
        <w:textAlignment w:val="baseline"/>
        <w:outlineLvl w:val="0"/>
        <w:rPr>
          <w:rFonts w:ascii="ＭＳ ゴシック" w:eastAsia="IPA明朝" w:hAnsi="ＭＳ ゴシック" w:cs="ＭＳ ゴシック"/>
          <w:color w:val="000000"/>
          <w:kern w:val="0"/>
          <w:sz w:val="22"/>
        </w:rPr>
      </w:pPr>
      <w:r w:rsidRPr="006A6354">
        <w:rPr>
          <w:rFonts w:ascii="ＭＳ ゴシック" w:eastAsia="IPA明朝" w:hAnsi="ＭＳ ゴシック" w:cs="ＭＳ ゴシック"/>
          <w:color w:val="000000"/>
          <w:kern w:val="0"/>
          <w:sz w:val="22"/>
        </w:rPr>
        <w:t xml:space="preserve">                            </w:t>
      </w:r>
      <w:r w:rsidRPr="006A6354">
        <w:rPr>
          <w:rFonts w:ascii="IPA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6A6354">
        <w:rPr>
          <w:rFonts w:ascii="ＭＳ ゴシック" w:eastAsia="IPA明朝" w:hAnsi="ＭＳ ゴシック" w:cs="ＭＳ ゴシック"/>
          <w:color w:val="000000"/>
          <w:kern w:val="0"/>
          <w:sz w:val="22"/>
        </w:rPr>
        <w:t xml:space="preserve">    </w:t>
      </w:r>
      <w:r w:rsidR="00014B91">
        <w:rPr>
          <w:rFonts w:ascii="ＭＳ ゴシック" w:eastAsia="IPA明朝" w:hAnsi="ＭＳ ゴシック" w:cs="ＭＳ ゴシック" w:hint="eastAsia"/>
          <w:color w:val="000000"/>
          <w:kern w:val="0"/>
          <w:sz w:val="22"/>
        </w:rPr>
        <w:t xml:space="preserve">　</w:t>
      </w:r>
    </w:p>
    <w:p w14:paraId="748399C7" w14:textId="77777777" w:rsidR="00014B91" w:rsidRPr="006A6354" w:rsidRDefault="00014B91" w:rsidP="00014B91">
      <w:pPr>
        <w:suppressAutoHyphens/>
        <w:overflowPunct w:val="0"/>
        <w:spacing w:after="68" w:line="270" w:lineRule="exact"/>
        <w:ind w:left="720"/>
        <w:jc w:val="left"/>
        <w:textAlignment w:val="baseline"/>
        <w:outlineLvl w:val="0"/>
        <w:rPr>
          <w:rFonts w:ascii="IPA明朝" w:eastAsia="IPA明朝" w:hAnsi="Times New Roman" w:cs="Times New Roman" w:hint="eastAsia"/>
          <w:color w:val="000000"/>
          <w:kern w:val="0"/>
          <w:sz w:val="22"/>
        </w:rPr>
      </w:pPr>
    </w:p>
    <w:tbl>
      <w:tblPr>
        <w:tblW w:w="5421" w:type="dxa"/>
        <w:tblInd w:w="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084"/>
        <w:gridCol w:w="4096"/>
      </w:tblGrid>
      <w:tr w:rsidR="006A6354" w:rsidRPr="006A6354" w14:paraId="3E3C7C2F" w14:textId="77777777" w:rsidTr="00B953C8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D24062" w14:textId="77777777" w:rsidR="006A6354" w:rsidRPr="006A6354" w:rsidRDefault="006A6354" w:rsidP="006A6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AFCC923" w14:textId="77777777" w:rsidR="006A6354" w:rsidRPr="006A6354" w:rsidRDefault="006A6354" w:rsidP="006A6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2"/>
              </w:rPr>
            </w:pPr>
            <w:r w:rsidRPr="006A6354">
              <w:rPr>
                <w:rFonts w:ascii="IPA明朝" w:eastAsia="IPA明朝" w:hAnsi="IPA明朝" w:cs="IPA明朝"/>
                <w:color w:val="000000"/>
                <w:kern w:val="0"/>
                <w:sz w:val="22"/>
              </w:rPr>
              <w:t xml:space="preserve"> </w:t>
            </w:r>
            <w:r w:rsidRPr="006A6354">
              <w:rPr>
                <w:rFonts w:ascii="IPA明朝" w:eastAsia="ＭＳ ゴシック" w:hAnsi="Times New Roman" w:cs="ＭＳ 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EBD463D" w14:textId="77777777" w:rsidR="006A6354" w:rsidRPr="006A6354" w:rsidRDefault="006A6354" w:rsidP="006A6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6354" w:rsidRPr="006A6354" w14:paraId="5F881C1C" w14:textId="77777777" w:rsidTr="00B953C8">
        <w:trPr>
          <w:trHeight w:val="1488"/>
        </w:trPr>
        <w:tc>
          <w:tcPr>
            <w:tcW w:w="5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F1D0" w14:textId="77777777" w:rsidR="006A6354" w:rsidRPr="006A6354" w:rsidRDefault="006A6354" w:rsidP="006A6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2"/>
              </w:rPr>
            </w:pPr>
            <w:r w:rsidRPr="006A6354">
              <w:rPr>
                <w:rFonts w:ascii="IPA明朝" w:eastAsia="ＭＳ ゴシック" w:hAnsi="Times New Roman" w:cs="ＭＳ ゴシック" w:hint="eastAsia"/>
                <w:color w:val="000000"/>
                <w:kern w:val="0"/>
                <w:sz w:val="22"/>
              </w:rPr>
              <w:t>保健福祉部薬務課　血液・麻薬担当　山岡・宮脇</w:t>
            </w:r>
          </w:p>
          <w:p w14:paraId="6E6D9120" w14:textId="77777777" w:rsidR="006A6354" w:rsidRPr="006A6354" w:rsidRDefault="006A6354" w:rsidP="006A6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2"/>
              </w:rPr>
            </w:pPr>
            <w:r w:rsidRPr="006A6354">
              <w:rPr>
                <w:rFonts w:ascii="IPA明朝" w:eastAsia="ＭＳ ゴシック" w:hAnsi="Times New Roman" w:cs="ＭＳ ゴシック" w:hint="eastAsia"/>
                <w:color w:val="000000"/>
                <w:kern w:val="0"/>
                <w:sz w:val="22"/>
              </w:rPr>
              <w:t>電　話　０８８－６２１－２２３４</w:t>
            </w:r>
          </w:p>
          <w:p w14:paraId="7C656D49" w14:textId="77777777" w:rsidR="006A6354" w:rsidRPr="006A6354" w:rsidRDefault="006A6354" w:rsidP="006A6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2"/>
              </w:rPr>
            </w:pPr>
            <w:r w:rsidRPr="006A6354">
              <w:rPr>
                <w:rFonts w:ascii="IPA明朝" w:eastAsia="ＭＳ ゴシック" w:hAnsi="Times New Roman" w:cs="ＭＳ ゴシック" w:hint="eastAsia"/>
                <w:color w:val="000000"/>
                <w:kern w:val="0"/>
                <w:sz w:val="22"/>
              </w:rPr>
              <w:t>ﾌｧｸｼﾐﾘ　０８８－６２１－２８４２</w:t>
            </w:r>
          </w:p>
          <w:p w14:paraId="5A1E82AD" w14:textId="77777777" w:rsidR="006A6354" w:rsidRPr="006A6354" w:rsidRDefault="006A6354" w:rsidP="006A63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2"/>
              </w:rPr>
            </w:pPr>
            <w:r w:rsidRPr="006A6354">
              <w:rPr>
                <w:rFonts w:ascii="ＭＳ ゴシック" w:eastAsia="IPA明朝" w:hAnsi="ＭＳ ゴシック" w:cs="ＭＳ ゴシック"/>
                <w:color w:val="000000"/>
                <w:kern w:val="0"/>
                <w:sz w:val="22"/>
              </w:rPr>
              <w:t>E-mail</w:t>
            </w:r>
            <w:r w:rsidRPr="006A6354">
              <w:rPr>
                <w:rFonts w:ascii="IPA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6A6354">
              <w:rPr>
                <w:rFonts w:ascii="ＭＳ ゴシック" w:eastAsia="IPA明朝" w:hAnsi="ＭＳ ゴシック" w:cs="ＭＳ ゴシック"/>
                <w:color w:val="000000"/>
                <w:kern w:val="0"/>
                <w:sz w:val="22"/>
              </w:rPr>
              <w:t>yakumuka@pref.tokushima.jp</w:t>
            </w:r>
          </w:p>
        </w:tc>
      </w:tr>
    </w:tbl>
    <w:p w14:paraId="62CF361E" w14:textId="77777777" w:rsidR="006A6354" w:rsidRPr="00F87295" w:rsidRDefault="006A6354" w:rsidP="00F87295">
      <w:pPr>
        <w:suppressAutoHyphens/>
        <w:overflowPunct w:val="0"/>
        <w:spacing w:line="332" w:lineRule="exact"/>
        <w:textAlignment w:val="baseline"/>
        <w:rPr>
          <w:rFonts w:ascii="IPA明朝" w:eastAsia="IPA明朝" w:hAnsi="Times New Roman" w:cs="Times New Roman" w:hint="eastAsia"/>
          <w:color w:val="000000"/>
          <w:kern w:val="0"/>
          <w:sz w:val="22"/>
        </w:rPr>
      </w:pPr>
      <w:bookmarkStart w:id="0" w:name="_GoBack"/>
      <w:bookmarkEnd w:id="0"/>
    </w:p>
    <w:sectPr w:rsidR="006A6354" w:rsidRPr="00F87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A5EC9" w14:textId="77777777" w:rsidR="008A175E" w:rsidRDefault="008A175E" w:rsidP="00014B91">
      <w:r>
        <w:separator/>
      </w:r>
    </w:p>
  </w:endnote>
  <w:endnote w:type="continuationSeparator" w:id="0">
    <w:p w14:paraId="38161316" w14:textId="77777777" w:rsidR="008A175E" w:rsidRDefault="008A175E" w:rsidP="0001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21044" w14:textId="77777777" w:rsidR="008A175E" w:rsidRDefault="008A175E" w:rsidP="00014B91">
      <w:r>
        <w:separator/>
      </w:r>
    </w:p>
  </w:footnote>
  <w:footnote w:type="continuationSeparator" w:id="0">
    <w:p w14:paraId="4BA3BE3F" w14:textId="77777777" w:rsidR="008A175E" w:rsidRDefault="008A175E" w:rsidP="0001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53D4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ind w:left="720"/>
      </w:pPr>
      <w:rPr>
        <w:rFonts w:ascii="IPA明朝" w:eastAsia="IPA明朝" w:hAnsi="IPA明朝" w:hint="eastAsia"/>
        <w:color w:val="000000"/>
        <w:spacing w:val="0"/>
        <w:w w:val="100"/>
        <w:sz w:val="24"/>
        <w:szCs w:val="24"/>
      </w:rPr>
    </w:lvl>
    <w:lvl w:ilvl="1">
      <w:start w:val="1"/>
      <w:numFmt w:val="lowerLetter"/>
      <w:lvlText w:val="%2"/>
      <w:lvlJc w:val="left"/>
      <w:pPr>
        <w:ind w:left="1320"/>
      </w:pPr>
      <w:rPr>
        <w:rFonts w:ascii="IPA明朝" w:eastAsia="IPA明朝" w:hAnsi="IPA明朝" w:hint="default"/>
        <w:color w:val="000000"/>
        <w:w w:val="100"/>
        <w:sz w:val="24"/>
        <w:szCs w:val="24"/>
      </w:rPr>
    </w:lvl>
    <w:lvl w:ilvl="2">
      <w:start w:val="1"/>
      <w:numFmt w:val="lowerRoman"/>
      <w:lvlText w:val="%3"/>
      <w:lvlJc w:val="left"/>
      <w:pPr>
        <w:ind w:left="204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76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4">
      <w:start w:val="1"/>
      <w:numFmt w:val="lowerLetter"/>
      <w:lvlText w:val="%5"/>
      <w:lvlJc w:val="left"/>
      <w:pPr>
        <w:ind w:left="348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5">
      <w:start w:val="1"/>
      <w:numFmt w:val="lowerRoman"/>
      <w:lvlText w:val="%6"/>
      <w:lvlJc w:val="left"/>
      <w:pPr>
        <w:ind w:left="420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6">
      <w:start w:val="1"/>
      <w:numFmt w:val="decimal"/>
      <w:lvlText w:val="%7"/>
      <w:lvlJc w:val="left"/>
      <w:pPr>
        <w:ind w:left="492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7">
      <w:start w:val="1"/>
      <w:numFmt w:val="decimal"/>
      <w:lvlText w:val="%8"/>
      <w:lvlJc w:val="left"/>
      <w:pPr>
        <w:ind w:left="492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8">
      <w:start w:val="1"/>
      <w:numFmt w:val="decimal"/>
      <w:lvlText w:val="%9"/>
      <w:lvlJc w:val="left"/>
      <w:pPr>
        <w:ind w:left="492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00"/>
    <w:rsid w:val="00014B91"/>
    <w:rsid w:val="003B298D"/>
    <w:rsid w:val="006A6354"/>
    <w:rsid w:val="007C0A67"/>
    <w:rsid w:val="008A175E"/>
    <w:rsid w:val="00990700"/>
    <w:rsid w:val="00BC6BDB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ED395"/>
  <w15:chartTrackingRefBased/>
  <w15:docId w15:val="{8AE51EDF-3617-46B4-A91A-294176D2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4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B91"/>
  </w:style>
  <w:style w:type="paragraph" w:styleId="a6">
    <w:name w:val="footer"/>
    <w:basedOn w:val="a"/>
    <w:link w:val="a7"/>
    <w:uiPriority w:val="99"/>
    <w:unhideWhenUsed/>
    <w:rsid w:val="00014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製薬協会</dc:creator>
  <cp:keywords/>
  <dc:description/>
  <cp:lastModifiedBy>製薬協会</cp:lastModifiedBy>
  <cp:revision>2</cp:revision>
  <dcterms:created xsi:type="dcterms:W3CDTF">2018-07-31T05:15:00Z</dcterms:created>
  <dcterms:modified xsi:type="dcterms:W3CDTF">2018-07-31T05:44:00Z</dcterms:modified>
</cp:coreProperties>
</file>